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9952" w14:textId="05580601" w:rsidR="00805B47" w:rsidRPr="003E7B16" w:rsidRDefault="007B2037" w:rsidP="007B2037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olor w:val="2DA343"/>
          <w:kern w:val="36"/>
          <w:sz w:val="48"/>
          <w:szCs w:val="48"/>
          <w:lang w:eastAsia="cs-CZ"/>
        </w:rPr>
      </w:pPr>
      <w:r>
        <w:rPr>
          <w:rFonts w:ascii="inherit" w:eastAsia="Times New Roman" w:hAnsi="inherit" w:cs="Times New Roman"/>
          <w:color w:val="2DA343"/>
          <w:kern w:val="36"/>
          <w:sz w:val="48"/>
          <w:szCs w:val="48"/>
          <w:lang w:eastAsia="cs-CZ"/>
        </w:rPr>
        <w:t xml:space="preserve">                     </w:t>
      </w:r>
      <w:r w:rsidR="00805B47" w:rsidRPr="003E7B16">
        <w:rPr>
          <w:rFonts w:ascii="inherit" w:eastAsia="Times New Roman" w:hAnsi="inherit" w:cs="Times New Roman"/>
          <w:b/>
          <w:bCs/>
          <w:color w:val="2DA343"/>
          <w:kern w:val="36"/>
          <w:sz w:val="48"/>
          <w:szCs w:val="48"/>
          <w:lang w:eastAsia="cs-CZ"/>
        </w:rPr>
        <w:t>Bleskovka č. 2</w:t>
      </w:r>
    </w:p>
    <w:p w14:paraId="783BFAF5" w14:textId="749A1862" w:rsidR="00805B47" w:rsidRPr="007B2037" w:rsidRDefault="00805B47" w:rsidP="004F592D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color w:val="2DA343"/>
          <w:kern w:val="36"/>
          <w:sz w:val="28"/>
          <w:szCs w:val="28"/>
          <w:lang w:eastAsia="cs-CZ"/>
        </w:rPr>
      </w:pPr>
      <w:r w:rsidRPr="007B2037">
        <w:rPr>
          <w:rFonts w:ascii="inherit" w:eastAsia="Times New Roman" w:hAnsi="inherit" w:cs="Times New Roman"/>
          <w:color w:val="2DA343"/>
          <w:kern w:val="36"/>
          <w:sz w:val="28"/>
          <w:szCs w:val="28"/>
          <w:lang w:eastAsia="cs-CZ"/>
        </w:rPr>
        <w:t>Vážení občané do Vašich rukou se dostávají další informace ohledně výměny kotlů. Předně se omlouvám za mylnou informaci v minulé bleskovce a sice ve věci třídy kotlů. Takže uvádím na pravou míru</w:t>
      </w:r>
      <w:r w:rsidR="00717E0C" w:rsidRPr="007B2037">
        <w:rPr>
          <w:rFonts w:ascii="inherit" w:eastAsia="Times New Roman" w:hAnsi="inherit" w:cs="Times New Roman"/>
          <w:color w:val="2DA343"/>
          <w:kern w:val="36"/>
          <w:sz w:val="28"/>
          <w:szCs w:val="28"/>
          <w:lang w:eastAsia="cs-CZ"/>
        </w:rPr>
        <w:t>:</w:t>
      </w:r>
    </w:p>
    <w:p w14:paraId="0E0D8916" w14:textId="0DB3264F" w:rsidR="0097673C" w:rsidRPr="003E7B16" w:rsidRDefault="00805B47" w:rsidP="007B2037">
      <w:pPr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</w:pPr>
      <w:r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>Od 1.9.2022 musí každá domácnost, která topí tuhými palivy (dřevo, uhlí)</w:t>
      </w:r>
      <w:r w:rsidR="00717E0C"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 xml:space="preserve"> </w:t>
      </w:r>
      <w:r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>mít k</w:t>
      </w:r>
      <w:r w:rsidR="00717E0C"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> </w:t>
      </w:r>
      <w:r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>vytápění</w:t>
      </w:r>
      <w:r w:rsidR="00717E0C"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 xml:space="preserve"> kotel emisní třídy 3, 4 anebo 5.</w:t>
      </w:r>
      <w:r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 xml:space="preserve"> </w:t>
      </w:r>
      <w:r w:rsidR="0097673C" w:rsidRPr="003E7B16">
        <w:rPr>
          <w:rFonts w:ascii="inherit" w:eastAsia="Times New Roman" w:hAnsi="inherit" w:cs="Times New Roman"/>
          <w:b/>
          <w:bCs/>
          <w:color w:val="2DA343"/>
          <w:kern w:val="36"/>
          <w:sz w:val="32"/>
          <w:szCs w:val="32"/>
          <w:lang w:eastAsia="cs-CZ"/>
        </w:rPr>
        <w:t xml:space="preserve">                         </w:t>
      </w:r>
    </w:p>
    <w:p w14:paraId="5362A803" w14:textId="4EE8A590" w:rsidR="007B2037" w:rsidRPr="003E7B16" w:rsidRDefault="007B2037" w:rsidP="007B2037">
      <w:pPr>
        <w:shd w:val="clear" w:color="auto" w:fill="FFFFFF"/>
        <w:spacing w:after="120" w:line="240" w:lineRule="auto"/>
        <w:textAlignment w:val="baseline"/>
        <w:rPr>
          <w:rFonts w:ascii="Poppins" w:eastAsia="Times New Roman" w:hAnsi="Poppins" w:cs="Poppins"/>
          <w:color w:val="484D5D"/>
          <w:sz w:val="20"/>
          <w:szCs w:val="20"/>
          <w:lang w:eastAsia="cs-CZ"/>
        </w:rPr>
      </w:pPr>
      <w:r w:rsidRPr="003E7B16">
        <w:rPr>
          <w:rFonts w:ascii="Poppins" w:eastAsia="Times New Roman" w:hAnsi="Poppins" w:cs="Poppins"/>
          <w:color w:val="484D5D"/>
          <w:sz w:val="20"/>
          <w:szCs w:val="20"/>
          <w:lang w:eastAsia="cs-CZ"/>
        </w:rPr>
        <w:t>Domácnosti, které provedou výměnu kotle před tímto datem, mohou žádat o státní dotaci až do výše 50 % uznatelných nákladů, nízkopříjmové domácnosti dokonce až 95 %.</w:t>
      </w:r>
      <w:r w:rsidRPr="003E7B16">
        <w:rPr>
          <w:rFonts w:ascii="Poppins" w:eastAsia="Times New Roman" w:hAnsi="Poppins" w:cs="Poppins"/>
          <w:color w:val="484D5D"/>
          <w:sz w:val="20"/>
          <w:szCs w:val="20"/>
          <w:lang w:eastAsia="cs-CZ"/>
        </w:rPr>
        <w:br/>
        <w:t>Domácnosti, které budou provozovat nevyhovující kotle po tomto datu, mohou dostat pokutu až do výše 50 000 Kč, a to i opakovaně.</w:t>
      </w:r>
      <w:r w:rsidRPr="003E7B16">
        <w:rPr>
          <w:rFonts w:ascii="Poppins" w:eastAsia="Times New Roman" w:hAnsi="Poppins" w:cs="Poppins"/>
          <w:color w:val="484D5D"/>
          <w:sz w:val="20"/>
          <w:szCs w:val="20"/>
          <w:lang w:eastAsia="cs-CZ"/>
        </w:rPr>
        <w:br/>
        <w:t xml:space="preserve">Bližší informace o dotacích najdete na webových stránkách naší </w:t>
      </w:r>
      <w:proofErr w:type="gramStart"/>
      <w:r w:rsidRPr="003E7B16">
        <w:rPr>
          <w:rFonts w:ascii="Poppins" w:eastAsia="Times New Roman" w:hAnsi="Poppins" w:cs="Poppins"/>
          <w:color w:val="484D5D"/>
          <w:sz w:val="20"/>
          <w:szCs w:val="20"/>
          <w:lang w:eastAsia="cs-CZ"/>
        </w:rPr>
        <w:t>obce ,</w:t>
      </w:r>
      <w:proofErr w:type="gramEnd"/>
      <w:r w:rsidRPr="003E7B16">
        <w:rPr>
          <w:rFonts w:ascii="Poppins" w:eastAsia="Times New Roman" w:hAnsi="Poppins" w:cs="Poppins"/>
          <w:color w:val="484D5D"/>
          <w:sz w:val="20"/>
          <w:szCs w:val="20"/>
          <w:lang w:eastAsia="cs-CZ"/>
        </w:rPr>
        <w:t xml:space="preserve"> Ministerstva životního prostředí, Státního fondu životního prostředí, Krajského úřadu Olomouckého kraje a přerovského magistrátu </w:t>
      </w:r>
    </w:p>
    <w:p w14:paraId="0AD45BD3" w14:textId="77777777" w:rsidR="007B2037" w:rsidRPr="003E7B16" w:rsidRDefault="003E7B16" w:rsidP="007B2037">
      <w:pPr>
        <w:shd w:val="clear" w:color="auto" w:fill="FFFFFF"/>
        <w:spacing w:after="120" w:line="240" w:lineRule="auto"/>
        <w:textAlignment w:val="baseline"/>
        <w:rPr>
          <w:rFonts w:ascii="Poppins" w:eastAsia="Times New Roman" w:hAnsi="Poppins" w:cs="Poppins"/>
          <w:color w:val="484D5D"/>
          <w:sz w:val="18"/>
          <w:szCs w:val="18"/>
          <w:lang w:eastAsia="cs-CZ"/>
        </w:rPr>
      </w:pPr>
      <w:hyperlink r:id="rId5" w:history="1">
        <w:r w:rsidR="007B2037" w:rsidRPr="003E7B16">
          <w:rPr>
            <w:rFonts w:ascii="Poppins" w:eastAsia="Times New Roman" w:hAnsi="Poppins" w:cs="Poppins"/>
            <w:color w:val="484D5D"/>
            <w:sz w:val="18"/>
            <w:szCs w:val="18"/>
            <w:u w:val="single"/>
            <w:lang w:eastAsia="cs-CZ"/>
          </w:rPr>
          <w:t>https://www.kr-olomoucky.cz/kotlikove-dotace-v-olomouckem-kraji-cl-3135.html</w:t>
        </w:r>
      </w:hyperlink>
    </w:p>
    <w:p w14:paraId="0FD3743D" w14:textId="77777777" w:rsidR="007B2037" w:rsidRPr="003E7B16" w:rsidRDefault="003E7B16" w:rsidP="007B2037">
      <w:pPr>
        <w:shd w:val="clear" w:color="auto" w:fill="FFFFFF"/>
        <w:spacing w:after="120" w:line="240" w:lineRule="auto"/>
        <w:textAlignment w:val="baseline"/>
        <w:rPr>
          <w:rFonts w:ascii="Poppins" w:eastAsia="Times New Roman" w:hAnsi="Poppins" w:cs="Poppins"/>
          <w:color w:val="484D5D"/>
          <w:sz w:val="18"/>
          <w:szCs w:val="18"/>
          <w:lang w:eastAsia="cs-CZ"/>
        </w:rPr>
      </w:pPr>
      <w:hyperlink r:id="rId6" w:history="1">
        <w:r w:rsidR="007B2037" w:rsidRPr="003E7B16">
          <w:rPr>
            <w:rFonts w:ascii="Poppins" w:eastAsia="Times New Roman" w:hAnsi="Poppins" w:cs="Poppins"/>
            <w:color w:val="484D5D"/>
            <w:sz w:val="18"/>
            <w:szCs w:val="18"/>
            <w:u w:val="single"/>
            <w:lang w:eastAsia="cs-CZ"/>
          </w:rPr>
          <w:t>https://novazelenausporam.cz/</w:t>
        </w:r>
      </w:hyperlink>
    </w:p>
    <w:p w14:paraId="3E1EFFAF" w14:textId="77777777" w:rsidR="007B2037" w:rsidRPr="003E7B16" w:rsidRDefault="003E7B16" w:rsidP="007B2037">
      <w:pPr>
        <w:shd w:val="clear" w:color="auto" w:fill="FFFFFF"/>
        <w:spacing w:after="120" w:line="240" w:lineRule="auto"/>
        <w:textAlignment w:val="baseline"/>
        <w:rPr>
          <w:rFonts w:ascii="Poppins" w:eastAsia="Times New Roman" w:hAnsi="Poppins" w:cs="Poppins"/>
          <w:color w:val="484D5D"/>
          <w:sz w:val="18"/>
          <w:szCs w:val="18"/>
          <w:lang w:eastAsia="cs-CZ"/>
        </w:rPr>
      </w:pPr>
      <w:hyperlink r:id="rId7" w:history="1">
        <w:r w:rsidR="007B2037" w:rsidRPr="003E7B16">
          <w:rPr>
            <w:rFonts w:ascii="Poppins" w:eastAsia="Times New Roman" w:hAnsi="Poppins" w:cs="Poppins"/>
            <w:color w:val="484D5D"/>
            <w:sz w:val="18"/>
            <w:szCs w:val="18"/>
            <w:u w:val="single"/>
            <w:lang w:eastAsia="cs-CZ"/>
          </w:rPr>
          <w:t>https://www.sfzp.cz/dotace-a-pujcky/nova-zelena-usporam/</w:t>
        </w:r>
      </w:hyperlink>
    </w:p>
    <w:p w14:paraId="3C1EEA70" w14:textId="138322C0" w:rsidR="0097673C" w:rsidRPr="003E7B16" w:rsidRDefault="003E7B16" w:rsidP="007B2037">
      <w:pPr>
        <w:shd w:val="clear" w:color="auto" w:fill="FFFFFF"/>
        <w:spacing w:after="120" w:line="240" w:lineRule="auto"/>
        <w:textAlignment w:val="baseline"/>
        <w:rPr>
          <w:rFonts w:ascii="Poppins" w:eastAsia="Times New Roman" w:hAnsi="Poppins" w:cs="Poppins"/>
          <w:color w:val="484D5D"/>
          <w:sz w:val="18"/>
          <w:szCs w:val="18"/>
          <w:lang w:eastAsia="cs-CZ"/>
        </w:rPr>
      </w:pPr>
      <w:hyperlink r:id="rId8" w:history="1">
        <w:r w:rsidR="007B2037" w:rsidRPr="003E7B16">
          <w:rPr>
            <w:rFonts w:ascii="Poppins" w:eastAsia="Times New Roman" w:hAnsi="Poppins" w:cs="Poppins"/>
            <w:color w:val="484D5D"/>
            <w:sz w:val="18"/>
            <w:szCs w:val="18"/>
            <w:u w:val="single"/>
            <w:lang w:eastAsia="cs-CZ"/>
          </w:rPr>
          <w:t>https://www.sfzp.cz/dotace-a-pujcky/kotlikove-dotace/domacnosti-s-nizsimi-prijmy/</w:t>
        </w:r>
      </w:hyperlink>
    </w:p>
    <w:p w14:paraId="75F00713" w14:textId="77777777" w:rsidR="004F592D" w:rsidRPr="004F592D" w:rsidRDefault="004F592D" w:rsidP="004F592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Arial"/>
          <w:color w:val="2DA343"/>
          <w:sz w:val="27"/>
          <w:szCs w:val="27"/>
          <w:lang w:eastAsia="cs-CZ"/>
        </w:rPr>
      </w:pPr>
      <w:r w:rsidRPr="004F592D">
        <w:rPr>
          <w:rFonts w:ascii="inherit" w:eastAsia="Times New Roman" w:hAnsi="inherit" w:cs="Arial"/>
          <w:color w:val="2DA300"/>
          <w:sz w:val="27"/>
          <w:szCs w:val="27"/>
          <w:lang w:eastAsia="cs-CZ"/>
        </w:rPr>
        <w:t>Kdo může o dotaci žádat a jak spočítat příjem</w:t>
      </w:r>
    </w:p>
    <w:p w14:paraId="144C6C6D" w14:textId="77777777" w:rsidR="004F592D" w:rsidRPr="004F592D" w:rsidRDefault="004F592D" w:rsidP="004F5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vlastník nebo spoluvlastník nemovitosti (rodinného nebo bytového domu, bytové jednotky nebo trvale obývaného rekreačního objektu, který musí být obýván alespoň 24 měsíců před podáním žádosti)</w:t>
      </w:r>
    </w:p>
    <w:p w14:paraId="52E84346" w14:textId="77777777" w:rsidR="004F592D" w:rsidRPr="004F592D" w:rsidRDefault="004F592D" w:rsidP="004F5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průměrný čistý příjem na člena domácnosti v roce 2020 nebyl vyšší než 170 900 Kč, tj. 14 242 Kč na osobu a měsíc. Příjmy členů domácnosti – osob bydlících společně se žadatelem – jsou průměrovány</w:t>
      </w:r>
    </w:p>
    <w:p w14:paraId="3369BEAE" w14:textId="77777777" w:rsidR="004F592D" w:rsidRPr="004F592D" w:rsidRDefault="004F592D" w:rsidP="004F5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sledovány budou jen běžné příjmy za rok 2020 – zdanitelné příjmy, důchody a vybrané typy dávek</w:t>
      </w:r>
    </w:p>
    <w:p w14:paraId="7AC4E26A" w14:textId="77777777" w:rsidR="004F592D" w:rsidRPr="004F592D" w:rsidRDefault="004F592D" w:rsidP="004F5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domácnosti složené výhradně z důchodců pobírajících starobní důchod nebo invalidní důchod 3. stupně nebudou muset dokládat příjmy, jsou automaticky způsobilí pro dotaci</w:t>
      </w:r>
    </w:p>
    <w:p w14:paraId="6E2EE81A" w14:textId="77777777" w:rsidR="004F592D" w:rsidRPr="004F592D" w:rsidRDefault="004F592D" w:rsidP="004F59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 nezletilých dětí a studentů do 26 let se uvažují příjmy ve výši 0 Kč</w:t>
      </w:r>
    </w:p>
    <w:p w14:paraId="31AB596B" w14:textId="77777777" w:rsidR="007B2037" w:rsidRDefault="004F592D" w:rsidP="007B203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Limit pro výši příjmů byl stanoven na základě podkladu zpracovaného Agenturou pro sociální začleňování. Žadatelé, kteří jej nesplní, mohou žádat o dotaci v programu Nová zelená </w:t>
      </w:r>
      <w:proofErr w:type="gramStart"/>
      <w:r w:rsidRPr="004F592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úsporám.</w:t>
      </w:r>
      <w:r w:rsidR="007B2037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  <w:proofErr w:type="gramEnd"/>
    </w:p>
    <w:p w14:paraId="691CAA7F" w14:textId="2C40B216" w:rsidR="00B56DBC" w:rsidRDefault="007B2037" w:rsidP="007B2037">
      <w:pPr>
        <w:shd w:val="clear" w:color="auto" w:fill="FFFFFF"/>
        <w:spacing w:before="100" w:beforeAutospacing="1" w:after="100" w:afterAutospacing="1" w:line="240" w:lineRule="auto"/>
        <w:ind w:left="360"/>
      </w:pPr>
      <w:r>
        <w:t xml:space="preserve">   </w:t>
      </w:r>
    </w:p>
    <w:sectPr w:rsidR="00B5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7B87"/>
    <w:multiLevelType w:val="multilevel"/>
    <w:tmpl w:val="6E00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D51CD"/>
    <w:multiLevelType w:val="multilevel"/>
    <w:tmpl w:val="BF2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4C9B"/>
    <w:multiLevelType w:val="hybridMultilevel"/>
    <w:tmpl w:val="2D629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2ECD"/>
    <w:multiLevelType w:val="multilevel"/>
    <w:tmpl w:val="7266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F5067"/>
    <w:multiLevelType w:val="multilevel"/>
    <w:tmpl w:val="8186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663FA"/>
    <w:multiLevelType w:val="multilevel"/>
    <w:tmpl w:val="6F66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07025"/>
    <w:multiLevelType w:val="multilevel"/>
    <w:tmpl w:val="F6D4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2D"/>
    <w:rsid w:val="003E7B16"/>
    <w:rsid w:val="004F592D"/>
    <w:rsid w:val="0059640D"/>
    <w:rsid w:val="00717E0C"/>
    <w:rsid w:val="007B2037"/>
    <w:rsid w:val="00805B47"/>
    <w:rsid w:val="0097673C"/>
    <w:rsid w:val="00B5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ED72"/>
  <w15:chartTrackingRefBased/>
  <w15:docId w15:val="{8FECD615-E72E-4D58-B786-7C57C0BA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5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F5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9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59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zev1">
    <w:name w:val="Název1"/>
    <w:basedOn w:val="Standardnpsmoodstavce"/>
    <w:rsid w:val="004F592D"/>
  </w:style>
  <w:style w:type="paragraph" w:styleId="Normlnweb">
    <w:name w:val="Normal (Web)"/>
    <w:basedOn w:val="Normln"/>
    <w:uiPriority w:val="99"/>
    <w:semiHidden/>
    <w:unhideWhenUsed/>
    <w:rsid w:val="004F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92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B2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5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zp.cz/dotace-a-pujcky/kotlikove-dotace/domacnosti-s-nizsimi-prij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fzp.cz/dotace-a-pujcky/nova-zelena-uspo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zelenausporam.cz/" TargetMode="External"/><Relationship Id="rId5" Type="http://schemas.openxmlformats.org/officeDocument/2006/relationships/hyperlink" Target="https://www.kr-olomoucky.cz/kotlikove-dotace-v-olomouckem-kraji-cl-313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 Odvršová</cp:lastModifiedBy>
  <cp:revision>6</cp:revision>
  <cp:lastPrinted>2022-02-27T14:29:00Z</cp:lastPrinted>
  <dcterms:created xsi:type="dcterms:W3CDTF">2022-02-27T13:23:00Z</dcterms:created>
  <dcterms:modified xsi:type="dcterms:W3CDTF">2022-02-27T14:29:00Z</dcterms:modified>
</cp:coreProperties>
</file>